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b/>
          <w:bCs/>
          <w:sz w:val="32"/>
          <w:szCs w:val="40"/>
        </w:rPr>
      </w:pPr>
      <w:r>
        <w:rPr>
          <w:rFonts w:hint="eastAsia" w:ascii="仿宋_GB2312" w:hAnsi="仿宋_GB2312" w:eastAsia="仿宋_GB2312" w:cs="仿宋_GB2312"/>
          <w:sz w:val="32"/>
          <w:szCs w:val="40"/>
        </w:rPr>
        <w:t>附件</w:t>
      </w:r>
      <w:r>
        <w:rPr>
          <w:rFonts w:hint="eastAsia" w:ascii="仿宋_GB2312" w:hAnsi="仿宋_GB2312" w:eastAsia="仿宋_GB2312" w:cs="仿宋_GB2312"/>
          <w:b/>
          <w:bCs/>
          <w:sz w:val="32"/>
          <w:szCs w:val="40"/>
        </w:rPr>
        <w:t>：</w:t>
      </w:r>
    </w:p>
    <w:p>
      <w:pPr>
        <w:jc w:val="center"/>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合肥工业大学202</w:t>
      </w:r>
      <w:r>
        <w:rPr>
          <w:rFonts w:ascii="仿宋_GB2312" w:hAnsi="仿宋_GB2312" w:eastAsia="仿宋_GB2312" w:cs="仿宋_GB2312"/>
          <w:b/>
          <w:bCs/>
          <w:sz w:val="32"/>
          <w:szCs w:val="40"/>
        </w:rPr>
        <w:t>2</w:t>
      </w:r>
      <w:r>
        <w:rPr>
          <w:rFonts w:hint="eastAsia" w:ascii="仿宋_GB2312" w:hAnsi="仿宋_GB2312" w:eastAsia="仿宋_GB2312" w:cs="仿宋_GB2312"/>
          <w:b/>
          <w:bCs/>
          <w:sz w:val="32"/>
          <w:szCs w:val="40"/>
        </w:rPr>
        <w:t>年免试研究生推荐有关赛事加分方案报备表</w:t>
      </w:r>
    </w:p>
    <w:p>
      <w:pPr>
        <w:jc w:val="center"/>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 xml:space="preserve">                                         </w:t>
      </w:r>
      <w:r>
        <w:rPr>
          <w:rFonts w:hint="eastAsia" w:ascii="仿宋_GB2312" w:hAnsi="仿宋_GB2312" w:eastAsia="仿宋_GB2312" w:cs="仿宋_GB2312"/>
          <w:sz w:val="28"/>
          <w:szCs w:val="36"/>
        </w:rPr>
        <w:t>单位：软件学院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5365"/>
        <w:gridCol w:w="1856"/>
        <w:gridCol w:w="5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dxa"/>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序号</w:t>
            </w:r>
          </w:p>
        </w:tc>
        <w:tc>
          <w:tcPr>
            <w:tcW w:w="5365" w:type="dxa"/>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赛事名称</w:t>
            </w:r>
          </w:p>
        </w:tc>
        <w:tc>
          <w:tcPr>
            <w:tcW w:w="1856" w:type="dxa"/>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赛事级别</w:t>
            </w:r>
          </w:p>
        </w:tc>
        <w:tc>
          <w:tcPr>
            <w:tcW w:w="5643" w:type="dxa"/>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参照加分方案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dxa"/>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w:t>
            </w:r>
          </w:p>
        </w:tc>
        <w:tc>
          <w:tcPr>
            <w:tcW w:w="5365"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CCF大学生计算机系统与程序设计竞赛</w:t>
            </w:r>
          </w:p>
        </w:tc>
        <w:tc>
          <w:tcPr>
            <w:tcW w:w="1856"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国家级</w:t>
            </w:r>
          </w:p>
        </w:tc>
        <w:tc>
          <w:tcPr>
            <w:tcW w:w="5643"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参照三大赛事外的A类赛事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dxa"/>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2</w:t>
            </w:r>
          </w:p>
        </w:tc>
        <w:tc>
          <w:tcPr>
            <w:tcW w:w="5365"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中国大学生程序设计竞赛</w:t>
            </w:r>
          </w:p>
        </w:tc>
        <w:tc>
          <w:tcPr>
            <w:tcW w:w="1856"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国家级</w:t>
            </w:r>
          </w:p>
        </w:tc>
        <w:tc>
          <w:tcPr>
            <w:tcW w:w="5643"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参照安徽省大学生学科和技能竞赛B类赛事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dxa"/>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3</w:t>
            </w:r>
          </w:p>
        </w:tc>
        <w:tc>
          <w:tcPr>
            <w:tcW w:w="5365"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ACM-ICPC国际大学生程序设计竞赛</w:t>
            </w:r>
          </w:p>
        </w:tc>
        <w:tc>
          <w:tcPr>
            <w:tcW w:w="1856"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国家级</w:t>
            </w:r>
          </w:p>
        </w:tc>
        <w:tc>
          <w:tcPr>
            <w:tcW w:w="5643"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参照安徽省大学生学科和技能竞赛B类赛事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dxa"/>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4</w:t>
            </w:r>
          </w:p>
        </w:tc>
        <w:tc>
          <w:tcPr>
            <w:tcW w:w="5365"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中国机器人大赛暨RoboCup机器人世界杯中国赛</w:t>
            </w:r>
          </w:p>
        </w:tc>
        <w:tc>
          <w:tcPr>
            <w:tcW w:w="1856"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国家级</w:t>
            </w:r>
          </w:p>
        </w:tc>
        <w:tc>
          <w:tcPr>
            <w:tcW w:w="5643"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参照安徽省大学生学科和技能竞赛</w:t>
            </w:r>
            <w:r>
              <w:rPr>
                <w:rFonts w:ascii="仿宋_GB2312" w:hAnsi="仿宋_GB2312" w:eastAsia="仿宋_GB2312" w:cs="仿宋_GB2312"/>
                <w:color w:val="000000" w:themeColor="text1"/>
                <w:sz w:val="24"/>
                <w:szCs w:val="32"/>
                <w14:textFill>
                  <w14:solidFill>
                    <w14:schemeClr w14:val="tx1"/>
                  </w14:solidFill>
                </w14:textFill>
              </w:rPr>
              <w:t>B</w:t>
            </w:r>
            <w:r>
              <w:rPr>
                <w:rFonts w:hint="eastAsia" w:ascii="仿宋_GB2312" w:hAnsi="仿宋_GB2312" w:eastAsia="仿宋_GB2312" w:cs="仿宋_GB2312"/>
                <w:color w:val="000000" w:themeColor="text1"/>
                <w:sz w:val="24"/>
                <w:szCs w:val="32"/>
                <w14:textFill>
                  <w14:solidFill>
                    <w14:schemeClr w14:val="tx1"/>
                  </w14:solidFill>
                </w14:textFill>
              </w:rPr>
              <w:t>类赛事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dxa"/>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5</w:t>
            </w:r>
          </w:p>
        </w:tc>
        <w:tc>
          <w:tcPr>
            <w:tcW w:w="5365"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RoboCup机器人世界杯</w:t>
            </w:r>
          </w:p>
        </w:tc>
        <w:tc>
          <w:tcPr>
            <w:tcW w:w="1856"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国际级</w:t>
            </w:r>
          </w:p>
        </w:tc>
        <w:tc>
          <w:tcPr>
            <w:tcW w:w="5643"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参照安徽省大学生学科和技能竞赛B类赛事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dxa"/>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6</w:t>
            </w:r>
          </w:p>
        </w:tc>
        <w:tc>
          <w:tcPr>
            <w:tcW w:w="5365"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全国高校计算机能力挑战赛</w:t>
            </w:r>
          </w:p>
        </w:tc>
        <w:tc>
          <w:tcPr>
            <w:tcW w:w="1856"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国家级</w:t>
            </w:r>
          </w:p>
        </w:tc>
        <w:tc>
          <w:tcPr>
            <w:tcW w:w="5643"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参照安徽省大学生学科和技能竞赛</w:t>
            </w:r>
            <w:r>
              <w:rPr>
                <w:rFonts w:ascii="仿宋_GB2312" w:hAnsi="仿宋_GB2312" w:eastAsia="仿宋_GB2312" w:cs="仿宋_GB2312"/>
                <w:color w:val="000000" w:themeColor="text1"/>
                <w:sz w:val="24"/>
                <w:szCs w:val="32"/>
                <w14:textFill>
                  <w14:solidFill>
                    <w14:schemeClr w14:val="tx1"/>
                  </w14:solidFill>
                </w14:textFill>
              </w:rPr>
              <w:t>B</w:t>
            </w:r>
            <w:r>
              <w:rPr>
                <w:rFonts w:hint="eastAsia" w:ascii="仿宋_GB2312" w:hAnsi="仿宋_GB2312" w:eastAsia="仿宋_GB2312" w:cs="仿宋_GB2312"/>
                <w:color w:val="000000" w:themeColor="text1"/>
                <w:sz w:val="24"/>
                <w:szCs w:val="32"/>
                <w14:textFill>
                  <w14:solidFill>
                    <w14:schemeClr w14:val="tx1"/>
                  </w14:solidFill>
                </w14:textFill>
              </w:rPr>
              <w:t>类赛事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dxa"/>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7</w:t>
            </w:r>
          </w:p>
        </w:tc>
        <w:tc>
          <w:tcPr>
            <w:tcW w:w="5365"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"认证杯"数学中国数学建模国际赛</w:t>
            </w:r>
          </w:p>
        </w:tc>
        <w:tc>
          <w:tcPr>
            <w:tcW w:w="1856"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省部级</w:t>
            </w:r>
          </w:p>
        </w:tc>
        <w:tc>
          <w:tcPr>
            <w:tcW w:w="5643"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参照B类赛事的校级赛事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dxa"/>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8</w:t>
            </w:r>
          </w:p>
        </w:tc>
        <w:tc>
          <w:tcPr>
            <w:tcW w:w="5365"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MathorCup高校数学建模挑战赛</w:t>
            </w:r>
          </w:p>
        </w:tc>
        <w:tc>
          <w:tcPr>
            <w:tcW w:w="1856"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省部级</w:t>
            </w:r>
          </w:p>
        </w:tc>
        <w:tc>
          <w:tcPr>
            <w:tcW w:w="5643"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参照B类赛事的校级赛事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dxa"/>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9</w:t>
            </w:r>
          </w:p>
        </w:tc>
        <w:tc>
          <w:tcPr>
            <w:tcW w:w="5365"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全国大学生算法设计与编程挑战赛</w:t>
            </w:r>
          </w:p>
        </w:tc>
        <w:tc>
          <w:tcPr>
            <w:tcW w:w="1856"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省部级</w:t>
            </w:r>
          </w:p>
        </w:tc>
        <w:tc>
          <w:tcPr>
            <w:tcW w:w="5643" w:type="dxa"/>
            <w:vAlign w:val="center"/>
          </w:tcPr>
          <w:p>
            <w:pPr>
              <w:jc w:val="center"/>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参照B类赛事的校级赛事</w:t>
            </w:r>
          </w:p>
        </w:tc>
      </w:tr>
    </w:tbl>
    <w:p>
      <w:pPr>
        <w:rPr>
          <w:rFonts w:ascii="仿宋_GB2312" w:hAnsi="仿宋_GB2312" w:eastAsia="仿宋_GB2312" w:cs="仿宋_GB2312"/>
          <w:sz w:val="28"/>
          <w:szCs w:val="36"/>
        </w:rPr>
      </w:pPr>
      <w:r>
        <w:rPr>
          <w:rFonts w:hint="eastAsia" w:ascii="仿宋_GB2312" w:hAnsi="仿宋_GB2312" w:eastAsia="仿宋_GB2312" w:cs="仿宋_GB2312"/>
          <w:sz w:val="28"/>
          <w:szCs w:val="36"/>
        </w:rPr>
        <w:t>注：1、赛事级别：国际、国家、省部级、校级，其他；</w:t>
      </w:r>
    </w:p>
    <w:p>
      <w:pPr>
        <w:numPr>
          <w:ilvl w:val="0"/>
          <w:numId w:val="1"/>
        </w:numPr>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参照加分方案：参照暂行办法附件二：合肥工业大学推免生综合评价加分细则中创新创业竞赛及学术竞赛加分规则、文化艺术竞赛或活动加分规则及体育竞赛加分规则，如参照三大赛事、参照三大赛事外的A类赛事、参照安徽省大学生学科和技能竞赛B类赛事、参照A、B类赛事的校级赛事等；</w:t>
      </w:r>
    </w:p>
    <w:p>
      <w:pPr>
        <w:rPr>
          <w:rFonts w:ascii="仿宋_GB2312" w:hAnsi="仿宋_GB2312" w:eastAsia="仿宋_GB2312" w:cs="仿宋_GB2312"/>
          <w:sz w:val="28"/>
          <w:szCs w:val="36"/>
        </w:rPr>
      </w:pPr>
      <w:bookmarkStart w:id="0" w:name="_GoBack"/>
      <w:bookmarkEnd w:id="0"/>
    </w:p>
    <w:p>
      <w:pPr>
        <w:rPr>
          <w:rFonts w:ascii="仿宋_GB2312" w:hAnsi="仿宋_GB2312" w:eastAsia="仿宋_GB2312" w:cs="仿宋_GB2312"/>
          <w:sz w:val="28"/>
          <w:szCs w:val="36"/>
        </w:rPr>
      </w:pPr>
      <w:r>
        <w:rPr>
          <w:rFonts w:hint="eastAsia" w:ascii="仿宋_GB2312" w:hAnsi="仿宋_GB2312" w:eastAsia="仿宋_GB2312" w:cs="仿宋_GB2312"/>
          <w:sz w:val="28"/>
          <w:szCs w:val="36"/>
        </w:rPr>
        <w:t xml:space="preserve">单位负责人：                                                          单位盖章： </w:t>
      </w:r>
    </w:p>
    <w:sectPr>
      <w:pgSz w:w="16838" w:h="11906" w:orient="landscape"/>
      <w:pgMar w:top="850" w:right="1134" w:bottom="850"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A012B1"/>
    <w:multiLevelType w:val="singleLevel"/>
    <w:tmpl w:val="CBA012B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CD"/>
    <w:rsid w:val="000E5C8D"/>
    <w:rsid w:val="001B05F6"/>
    <w:rsid w:val="002725DD"/>
    <w:rsid w:val="00385688"/>
    <w:rsid w:val="004672AC"/>
    <w:rsid w:val="00610341"/>
    <w:rsid w:val="00657FEE"/>
    <w:rsid w:val="00723DD3"/>
    <w:rsid w:val="00726B9C"/>
    <w:rsid w:val="00853487"/>
    <w:rsid w:val="00923B4E"/>
    <w:rsid w:val="00971B63"/>
    <w:rsid w:val="00A03E0C"/>
    <w:rsid w:val="00A43307"/>
    <w:rsid w:val="00A82DB2"/>
    <w:rsid w:val="00A94A32"/>
    <w:rsid w:val="00BB38CE"/>
    <w:rsid w:val="00C66697"/>
    <w:rsid w:val="00D81FCD"/>
    <w:rsid w:val="00DA5D5B"/>
    <w:rsid w:val="00E14067"/>
    <w:rsid w:val="00EC747E"/>
    <w:rsid w:val="01B713A6"/>
    <w:rsid w:val="04350BDA"/>
    <w:rsid w:val="063568D9"/>
    <w:rsid w:val="0B1E73C2"/>
    <w:rsid w:val="171E17A3"/>
    <w:rsid w:val="24F10EBB"/>
    <w:rsid w:val="326767AC"/>
    <w:rsid w:val="405B55F9"/>
    <w:rsid w:val="5D03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Words>
  <Characters>597</Characters>
  <Lines>4</Lines>
  <Paragraphs>1</Paragraphs>
  <TotalTime>4</TotalTime>
  <ScaleCrop>false</ScaleCrop>
  <LinksUpToDate>false</LinksUpToDate>
  <CharactersWithSpaces>700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2021-08-12T01:58:00Z</dcterms:created>
  <dc:creator>张进军</dc:creator>
  <cp:lastModifiedBy>鬼迷心窍1427452447</cp:lastModifiedBy>
  <cp:lastPrinted>2020-09-07T02:30:00Z</cp:lastPrinted>
  <dcterms:modified xsi:type="dcterms:W3CDTF">2021-08-14T03:15:22Z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